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Сильянова Олега Дмитриевича </w:t>
      </w:r>
      <w:r>
        <w:rPr>
          <w:rFonts w:hint="default" w:ascii="Times New Roman" w:hAnsi="Times New Roman" w:cs="Times New Roman"/>
          <w:sz w:val="24"/>
          <w:szCs w:val="24"/>
        </w:rPr>
        <w:t>(23.02.1964 г.р., место рождения: пос. Первомайск Мотыгинского р-на, ИНН 246507515190, СНИЛС 080-131-196 15, адрес регистрации Россия 660041, г. Красноярск, Красноярский край, ул. Партизана железняка, д.55, кв.10)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7805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8893BF2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автотранспортное средство: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SKODA RAPID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2015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VIN XW8AD2NH5FK119182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ГРЗ С365ОВ123, принадлежащее на праве собственности Сильяновой Татьяне Робертовне, являющееся совместно нажитым имуществом супругов, находящееся в залоге у Банк ВТБ (ПАО) на основании договора залога № 621/2046-0009275 от 09.11.2018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Решения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Арбитражного суда Краснояского края от 18.05.2023 г. по делу № 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7805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9622EE8"/>
    <w:rsid w:val="50447597"/>
    <w:rsid w:val="55015FC1"/>
    <w:rsid w:val="5DB875A3"/>
    <w:rsid w:val="5E4512FB"/>
    <w:rsid w:val="70AE6DDB"/>
    <w:rsid w:val="77C37121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2025-04-28T02:20:13Z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